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CF" w:rsidRDefault="004418CF" w:rsidP="00567CFA">
      <w:pPr>
        <w:pStyle w:val="NoSpacing"/>
        <w:jc w:val="center"/>
        <w:rPr>
          <w:rFonts w:ascii="Adobe Caslon Pro" w:hAnsi="Adobe Caslon Pro"/>
          <w:color w:val="365F91" w:themeColor="accent1" w:themeShade="BF"/>
          <w:sz w:val="44"/>
          <w:szCs w:val="44"/>
          <w:u w:val="single"/>
        </w:rPr>
      </w:pPr>
      <w:bookmarkStart w:id="0" w:name="_GoBack"/>
      <w:r>
        <w:rPr>
          <w:noProof/>
          <w:lang w:eastAsia="en-GB"/>
        </w:rPr>
        <w:drawing>
          <wp:inline distT="0" distB="0" distL="0" distR="0">
            <wp:extent cx="618490" cy="688975"/>
            <wp:effectExtent l="19050" t="0" r="0" b="0"/>
            <wp:docPr id="6" name="Picture 1" descr="C:\Users\Owner\AppData\Local\Microsoft\Windows\Temporary Internet Files\Content.Word\Cross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CrossKeys.jpg"/>
                    <pic:cNvPicPr>
                      <a:picLocks noChangeAspect="1" noChangeArrowheads="1"/>
                    </pic:cNvPicPr>
                  </pic:nvPicPr>
                  <pic:blipFill>
                    <a:blip r:embed="rId8" cstate="print"/>
                    <a:srcRect/>
                    <a:stretch>
                      <a:fillRect/>
                    </a:stretch>
                  </pic:blipFill>
                  <pic:spPr bwMode="auto">
                    <a:xfrm>
                      <a:off x="0" y="0"/>
                      <a:ext cx="618490" cy="688975"/>
                    </a:xfrm>
                    <a:prstGeom prst="rect">
                      <a:avLst/>
                    </a:prstGeom>
                    <a:noFill/>
                    <a:ln w="9525">
                      <a:noFill/>
                      <a:miter lim="800000"/>
                      <a:headEnd/>
                      <a:tailEnd/>
                    </a:ln>
                  </pic:spPr>
                </pic:pic>
              </a:graphicData>
            </a:graphic>
          </wp:inline>
        </w:drawing>
      </w:r>
      <w:bookmarkEnd w:id="0"/>
    </w:p>
    <w:p w:rsidR="004418CF" w:rsidRDefault="000D47E3" w:rsidP="004418CF">
      <w:pPr>
        <w:pStyle w:val="NoSpacing"/>
        <w:jc w:val="center"/>
        <w:rPr>
          <w:rFonts w:ascii="Adobe Caslon Pro" w:hAnsi="Adobe Caslon Pro"/>
          <w:color w:val="365F91" w:themeColor="accent1" w:themeShade="BF"/>
          <w:sz w:val="44"/>
          <w:szCs w:val="44"/>
          <w:u w:val="single"/>
        </w:rPr>
      </w:pPr>
      <w:r>
        <w:rPr>
          <w:rFonts w:ascii="Adobe Caslon Pro" w:hAnsi="Adobe Caslon Pro"/>
          <w:color w:val="365F91" w:themeColor="accent1" w:themeShade="BF"/>
          <w:sz w:val="44"/>
          <w:szCs w:val="44"/>
          <w:u w:val="single"/>
        </w:rPr>
        <w:t>Elworth CE Primary School</w:t>
      </w:r>
    </w:p>
    <w:p w:rsidR="000D47E3" w:rsidRPr="004418CF" w:rsidRDefault="000D47E3" w:rsidP="004418CF">
      <w:pPr>
        <w:pStyle w:val="NoSpacing"/>
        <w:jc w:val="center"/>
        <w:rPr>
          <w:rFonts w:ascii="Adobe Caslon Pro" w:hAnsi="Adobe Caslon Pro"/>
          <w:color w:val="365F91" w:themeColor="accent1" w:themeShade="BF"/>
          <w:sz w:val="44"/>
          <w:szCs w:val="44"/>
          <w:u w:val="single"/>
        </w:rPr>
      </w:pPr>
      <w:r w:rsidRPr="000D47E3">
        <w:rPr>
          <w:i/>
          <w:sz w:val="16"/>
          <w:szCs w:val="16"/>
        </w:rPr>
        <w:t>The governing body is the school’s accountable body.  It is responsible for the conduct of the school and for promoting high standards.  The governing body aims to ensure that children are attending a successful school which provides them with a good education and supports their well-being.</w:t>
      </w:r>
    </w:p>
    <w:p w:rsidR="004418CF" w:rsidRPr="004418CF" w:rsidRDefault="00437F23" w:rsidP="004418CF">
      <w:pPr>
        <w:pStyle w:val="NoSpacing"/>
        <w:jc w:val="center"/>
        <w:rPr>
          <w:b/>
          <w:sz w:val="36"/>
          <w:szCs w:val="36"/>
        </w:rPr>
      </w:pPr>
      <w:r>
        <w:rPr>
          <w:b/>
          <w:sz w:val="36"/>
          <w:szCs w:val="36"/>
        </w:rPr>
        <w:t>Leadership and Management</w:t>
      </w:r>
      <w:r w:rsidR="000D47E3" w:rsidRPr="004418CF">
        <w:rPr>
          <w:b/>
          <w:sz w:val="36"/>
          <w:szCs w:val="36"/>
        </w:rPr>
        <w:t xml:space="preserve"> Committee</w:t>
      </w:r>
    </w:p>
    <w:p w:rsidR="003B54F9" w:rsidRDefault="003B54F9" w:rsidP="004418CF">
      <w:pPr>
        <w:pStyle w:val="NoSpacing"/>
        <w:jc w:val="center"/>
        <w:rPr>
          <w:sz w:val="32"/>
          <w:szCs w:val="32"/>
          <w:u w:val="single"/>
        </w:rPr>
      </w:pPr>
    </w:p>
    <w:p w:rsidR="004418CF" w:rsidRDefault="000D47E3" w:rsidP="004418CF">
      <w:pPr>
        <w:pStyle w:val="NoSpacing"/>
        <w:jc w:val="center"/>
        <w:rPr>
          <w:sz w:val="32"/>
          <w:szCs w:val="32"/>
          <w:u w:val="single"/>
        </w:rPr>
      </w:pPr>
      <w:r w:rsidRPr="000D47E3">
        <w:rPr>
          <w:sz w:val="32"/>
          <w:szCs w:val="32"/>
          <w:u w:val="single"/>
        </w:rPr>
        <w:t>Terms of Referenc</w:t>
      </w:r>
      <w:r w:rsidR="004418CF">
        <w:rPr>
          <w:sz w:val="32"/>
          <w:szCs w:val="32"/>
          <w:u w:val="single"/>
        </w:rPr>
        <w:t>e</w:t>
      </w:r>
    </w:p>
    <w:p w:rsidR="00FF4DEE" w:rsidRDefault="00FF4DEE" w:rsidP="004418CF">
      <w:pPr>
        <w:pStyle w:val="NoSpacing"/>
        <w:jc w:val="center"/>
        <w:rPr>
          <w:sz w:val="32"/>
          <w:szCs w:val="32"/>
          <w:u w:val="single"/>
        </w:rPr>
      </w:pPr>
    </w:p>
    <w:tbl>
      <w:tblPr>
        <w:tblStyle w:val="TableGrid"/>
        <w:tblW w:w="0" w:type="auto"/>
        <w:tblLook w:val="04A0" w:firstRow="1" w:lastRow="0" w:firstColumn="1" w:lastColumn="0" w:noHBand="0" w:noVBand="1"/>
      </w:tblPr>
      <w:tblGrid>
        <w:gridCol w:w="1855"/>
        <w:gridCol w:w="1665"/>
        <w:gridCol w:w="2242"/>
        <w:gridCol w:w="1919"/>
        <w:gridCol w:w="1561"/>
      </w:tblGrid>
      <w:tr w:rsidR="00BF46BE" w:rsidTr="00685391">
        <w:tc>
          <w:tcPr>
            <w:tcW w:w="9242" w:type="dxa"/>
            <w:gridSpan w:val="5"/>
            <w:shd w:val="clear" w:color="auto" w:fill="8DB3E2" w:themeFill="text2" w:themeFillTint="66"/>
          </w:tcPr>
          <w:p w:rsidR="00BF46BE" w:rsidRPr="00685391" w:rsidRDefault="00BF46BE" w:rsidP="004418CF">
            <w:pPr>
              <w:pStyle w:val="NoSpacing"/>
              <w:jc w:val="center"/>
              <w:rPr>
                <w:b/>
                <w:sz w:val="24"/>
                <w:szCs w:val="24"/>
              </w:rPr>
            </w:pPr>
            <w:r w:rsidRPr="00685391">
              <w:rPr>
                <w:b/>
                <w:sz w:val="24"/>
                <w:szCs w:val="24"/>
              </w:rPr>
              <w:t>Membership</w:t>
            </w:r>
          </w:p>
        </w:tc>
      </w:tr>
      <w:tr w:rsidR="00387622" w:rsidTr="00387622">
        <w:tc>
          <w:tcPr>
            <w:tcW w:w="1951" w:type="dxa"/>
            <w:vAlign w:val="center"/>
          </w:tcPr>
          <w:p w:rsidR="00387622" w:rsidRPr="00685391" w:rsidRDefault="00387622" w:rsidP="00BF46BE">
            <w:pPr>
              <w:pStyle w:val="NoSpacing"/>
              <w:jc w:val="center"/>
              <w:rPr>
                <w:sz w:val="24"/>
                <w:szCs w:val="24"/>
              </w:rPr>
            </w:pPr>
            <w:r w:rsidRPr="00685391">
              <w:rPr>
                <w:sz w:val="24"/>
                <w:szCs w:val="24"/>
              </w:rPr>
              <w:t>Head</w:t>
            </w:r>
          </w:p>
        </w:tc>
        <w:tc>
          <w:tcPr>
            <w:tcW w:w="1745" w:type="dxa"/>
            <w:vAlign w:val="center"/>
          </w:tcPr>
          <w:p w:rsidR="00387622" w:rsidRPr="00685391" w:rsidRDefault="00387622" w:rsidP="00BF46BE">
            <w:pPr>
              <w:pStyle w:val="NoSpacing"/>
              <w:jc w:val="center"/>
              <w:rPr>
                <w:sz w:val="24"/>
                <w:szCs w:val="24"/>
              </w:rPr>
            </w:pPr>
            <w:r>
              <w:rPr>
                <w:sz w:val="24"/>
                <w:szCs w:val="24"/>
              </w:rPr>
              <w:t>Chair</w:t>
            </w:r>
          </w:p>
        </w:tc>
        <w:tc>
          <w:tcPr>
            <w:tcW w:w="2366" w:type="dxa"/>
            <w:vAlign w:val="center"/>
          </w:tcPr>
          <w:p w:rsidR="00387622" w:rsidRPr="00685391" w:rsidRDefault="00387622" w:rsidP="00BF46BE">
            <w:pPr>
              <w:pStyle w:val="NoSpacing"/>
              <w:jc w:val="center"/>
              <w:rPr>
                <w:sz w:val="24"/>
                <w:szCs w:val="24"/>
              </w:rPr>
            </w:pPr>
            <w:r>
              <w:rPr>
                <w:sz w:val="24"/>
                <w:szCs w:val="24"/>
              </w:rPr>
              <w:t>2 x Co-opted</w:t>
            </w:r>
            <w:r w:rsidRPr="00685391">
              <w:rPr>
                <w:sz w:val="24"/>
                <w:szCs w:val="24"/>
              </w:rPr>
              <w:t xml:space="preserve"> </w:t>
            </w:r>
          </w:p>
        </w:tc>
        <w:tc>
          <w:tcPr>
            <w:tcW w:w="1559" w:type="dxa"/>
            <w:vAlign w:val="center"/>
          </w:tcPr>
          <w:p w:rsidR="00387622" w:rsidRPr="00685391" w:rsidRDefault="00387622" w:rsidP="00BF46BE">
            <w:pPr>
              <w:pStyle w:val="NoSpacing"/>
              <w:jc w:val="center"/>
              <w:rPr>
                <w:sz w:val="24"/>
                <w:szCs w:val="24"/>
              </w:rPr>
            </w:pPr>
            <w:r>
              <w:rPr>
                <w:sz w:val="24"/>
                <w:szCs w:val="24"/>
              </w:rPr>
              <w:t>Vicar</w:t>
            </w:r>
            <w:r w:rsidR="0069745F">
              <w:rPr>
                <w:sz w:val="24"/>
                <w:szCs w:val="24"/>
              </w:rPr>
              <w:t>/</w:t>
            </w:r>
            <w:r w:rsidR="00943E63">
              <w:rPr>
                <w:sz w:val="24"/>
                <w:szCs w:val="24"/>
              </w:rPr>
              <w:t>Foundation</w:t>
            </w:r>
          </w:p>
        </w:tc>
        <w:tc>
          <w:tcPr>
            <w:tcW w:w="1621" w:type="dxa"/>
            <w:vAlign w:val="center"/>
          </w:tcPr>
          <w:p w:rsidR="00387622" w:rsidRPr="00685391" w:rsidRDefault="00387622" w:rsidP="00BF46BE">
            <w:pPr>
              <w:pStyle w:val="NoSpacing"/>
              <w:jc w:val="center"/>
              <w:rPr>
                <w:sz w:val="24"/>
                <w:szCs w:val="24"/>
              </w:rPr>
            </w:pPr>
            <w:r>
              <w:rPr>
                <w:sz w:val="24"/>
                <w:szCs w:val="24"/>
              </w:rPr>
              <w:t>1 x Parent</w:t>
            </w:r>
          </w:p>
        </w:tc>
      </w:tr>
      <w:tr w:rsidR="00F77D42" w:rsidTr="008E0902">
        <w:tc>
          <w:tcPr>
            <w:tcW w:w="9242" w:type="dxa"/>
            <w:gridSpan w:val="5"/>
            <w:vAlign w:val="center"/>
          </w:tcPr>
          <w:p w:rsidR="00F77D42" w:rsidRDefault="00F77D42" w:rsidP="00BF46BE">
            <w:pPr>
              <w:pStyle w:val="NoSpacing"/>
              <w:jc w:val="center"/>
              <w:rPr>
                <w:sz w:val="24"/>
                <w:szCs w:val="24"/>
              </w:rPr>
            </w:pPr>
          </w:p>
        </w:tc>
      </w:tr>
      <w:tr w:rsidR="00F77D42" w:rsidTr="00F77D42">
        <w:tc>
          <w:tcPr>
            <w:tcW w:w="9242" w:type="dxa"/>
            <w:gridSpan w:val="5"/>
            <w:shd w:val="clear" w:color="auto" w:fill="8DB3E2" w:themeFill="text2" w:themeFillTint="66"/>
            <w:vAlign w:val="center"/>
          </w:tcPr>
          <w:p w:rsidR="00F77D42" w:rsidRDefault="00F77D42" w:rsidP="00BF46BE">
            <w:pPr>
              <w:pStyle w:val="NoSpacing"/>
              <w:jc w:val="center"/>
              <w:rPr>
                <w:sz w:val="24"/>
                <w:szCs w:val="24"/>
              </w:rPr>
            </w:pPr>
            <w:r>
              <w:rPr>
                <w:sz w:val="24"/>
                <w:szCs w:val="24"/>
              </w:rPr>
              <w:t xml:space="preserve">Areas of Responsibility  </w:t>
            </w:r>
          </w:p>
        </w:tc>
      </w:tr>
      <w:tr w:rsidR="00F77D42" w:rsidTr="00897983">
        <w:tc>
          <w:tcPr>
            <w:tcW w:w="9242" w:type="dxa"/>
            <w:gridSpan w:val="5"/>
            <w:vAlign w:val="center"/>
          </w:tcPr>
          <w:p w:rsidR="00F77D42" w:rsidRPr="00F77D42" w:rsidRDefault="00F77D42" w:rsidP="00F77D42">
            <w:pPr>
              <w:pStyle w:val="NoSpacing"/>
              <w:numPr>
                <w:ilvl w:val="0"/>
                <w:numId w:val="4"/>
              </w:numPr>
              <w:rPr>
                <w:sz w:val="20"/>
                <w:szCs w:val="20"/>
              </w:rPr>
            </w:pPr>
            <w:r w:rsidRPr="00F77D42">
              <w:rPr>
                <w:sz w:val="20"/>
                <w:szCs w:val="20"/>
              </w:rPr>
              <w:t xml:space="preserve">SEF </w:t>
            </w:r>
            <w:proofErr w:type="spellStart"/>
            <w:r w:rsidRPr="00F77D42">
              <w:rPr>
                <w:sz w:val="20"/>
                <w:szCs w:val="20"/>
              </w:rPr>
              <w:t>Gradings</w:t>
            </w:r>
            <w:proofErr w:type="spellEnd"/>
          </w:p>
          <w:p w:rsidR="00F77D42" w:rsidRDefault="00F77D42" w:rsidP="00F77D42">
            <w:pPr>
              <w:pStyle w:val="NoSpacing"/>
              <w:numPr>
                <w:ilvl w:val="0"/>
                <w:numId w:val="4"/>
              </w:numPr>
              <w:rPr>
                <w:sz w:val="20"/>
                <w:szCs w:val="20"/>
              </w:rPr>
            </w:pPr>
            <w:r w:rsidRPr="00F77D42">
              <w:rPr>
                <w:sz w:val="20"/>
                <w:szCs w:val="20"/>
              </w:rPr>
              <w:t>Share Priorities for Action Plan for School</w:t>
            </w:r>
          </w:p>
          <w:p w:rsidR="00F77D42" w:rsidRDefault="00F77D42" w:rsidP="00F77D42">
            <w:pPr>
              <w:pStyle w:val="NoSpacing"/>
              <w:numPr>
                <w:ilvl w:val="0"/>
                <w:numId w:val="4"/>
              </w:numPr>
              <w:rPr>
                <w:sz w:val="20"/>
                <w:szCs w:val="20"/>
              </w:rPr>
            </w:pPr>
            <w:r>
              <w:rPr>
                <w:sz w:val="20"/>
                <w:szCs w:val="20"/>
              </w:rPr>
              <w:t xml:space="preserve">Staffing Structures </w:t>
            </w:r>
          </w:p>
          <w:p w:rsidR="00F77D42" w:rsidRDefault="00387622" w:rsidP="00F77D42">
            <w:pPr>
              <w:pStyle w:val="NoSpacing"/>
              <w:numPr>
                <w:ilvl w:val="0"/>
                <w:numId w:val="4"/>
              </w:numPr>
              <w:rPr>
                <w:sz w:val="20"/>
                <w:szCs w:val="20"/>
              </w:rPr>
            </w:pPr>
            <w:r>
              <w:rPr>
                <w:sz w:val="20"/>
                <w:szCs w:val="20"/>
              </w:rPr>
              <w:t>Pupil</w:t>
            </w:r>
            <w:r w:rsidR="00F77D42">
              <w:rPr>
                <w:sz w:val="20"/>
                <w:szCs w:val="20"/>
              </w:rPr>
              <w:t xml:space="preserve"> Numbers and Admissions</w:t>
            </w:r>
          </w:p>
          <w:p w:rsidR="00F77D42" w:rsidRDefault="00F77D42" w:rsidP="00F77D42">
            <w:pPr>
              <w:pStyle w:val="NoSpacing"/>
              <w:numPr>
                <w:ilvl w:val="0"/>
                <w:numId w:val="4"/>
              </w:numPr>
              <w:rPr>
                <w:sz w:val="20"/>
                <w:szCs w:val="20"/>
              </w:rPr>
            </w:pPr>
            <w:r>
              <w:rPr>
                <w:sz w:val="20"/>
                <w:szCs w:val="20"/>
              </w:rPr>
              <w:t>Performance Management</w:t>
            </w:r>
          </w:p>
          <w:p w:rsidR="00F77D42" w:rsidRDefault="00F77D42" w:rsidP="00F77D42">
            <w:pPr>
              <w:pStyle w:val="NoSpacing"/>
              <w:numPr>
                <w:ilvl w:val="0"/>
                <w:numId w:val="4"/>
              </w:numPr>
              <w:rPr>
                <w:sz w:val="20"/>
                <w:szCs w:val="20"/>
              </w:rPr>
            </w:pPr>
            <w:r>
              <w:rPr>
                <w:sz w:val="20"/>
                <w:szCs w:val="20"/>
              </w:rPr>
              <w:t>Finance and Expenditure</w:t>
            </w:r>
          </w:p>
          <w:p w:rsidR="00F77D42" w:rsidRDefault="00F77D42" w:rsidP="00F77D42">
            <w:pPr>
              <w:pStyle w:val="NoSpacing"/>
              <w:numPr>
                <w:ilvl w:val="0"/>
                <w:numId w:val="4"/>
              </w:numPr>
              <w:rPr>
                <w:sz w:val="20"/>
                <w:szCs w:val="20"/>
              </w:rPr>
            </w:pPr>
            <w:r>
              <w:rPr>
                <w:sz w:val="20"/>
                <w:szCs w:val="20"/>
              </w:rPr>
              <w:t>SFVS</w:t>
            </w:r>
          </w:p>
          <w:p w:rsidR="00A716AA" w:rsidRDefault="00A716AA" w:rsidP="00F77D42">
            <w:pPr>
              <w:pStyle w:val="NoSpacing"/>
              <w:numPr>
                <w:ilvl w:val="0"/>
                <w:numId w:val="4"/>
              </w:numPr>
              <w:rPr>
                <w:sz w:val="20"/>
                <w:szCs w:val="20"/>
              </w:rPr>
            </w:pPr>
            <w:r>
              <w:rPr>
                <w:sz w:val="20"/>
                <w:szCs w:val="20"/>
              </w:rPr>
              <w:t xml:space="preserve">Governors Review </w:t>
            </w:r>
            <w:proofErr w:type="spellStart"/>
            <w:r>
              <w:rPr>
                <w:sz w:val="20"/>
                <w:szCs w:val="20"/>
              </w:rPr>
              <w:t>inc.</w:t>
            </w:r>
            <w:proofErr w:type="spellEnd"/>
            <w:r>
              <w:rPr>
                <w:sz w:val="20"/>
                <w:szCs w:val="20"/>
              </w:rPr>
              <w:t xml:space="preserve"> Action Plan</w:t>
            </w:r>
          </w:p>
          <w:p w:rsidR="00A716AA" w:rsidRDefault="00A716AA" w:rsidP="00F77D42">
            <w:pPr>
              <w:pStyle w:val="NoSpacing"/>
              <w:numPr>
                <w:ilvl w:val="0"/>
                <w:numId w:val="4"/>
              </w:numPr>
              <w:rPr>
                <w:sz w:val="20"/>
                <w:szCs w:val="20"/>
              </w:rPr>
            </w:pPr>
            <w:r>
              <w:rPr>
                <w:sz w:val="20"/>
                <w:szCs w:val="20"/>
              </w:rPr>
              <w:t xml:space="preserve">Governor Training ( via link </w:t>
            </w:r>
            <w:r w:rsidR="000C5730">
              <w:rPr>
                <w:sz w:val="20"/>
                <w:szCs w:val="20"/>
              </w:rPr>
              <w:t>Governor</w:t>
            </w:r>
            <w:r>
              <w:rPr>
                <w:sz w:val="20"/>
                <w:szCs w:val="20"/>
              </w:rPr>
              <w:t>)</w:t>
            </w:r>
          </w:p>
          <w:p w:rsidR="00A716AA" w:rsidRPr="00F77D42" w:rsidRDefault="00A716AA" w:rsidP="00F77D42">
            <w:pPr>
              <w:pStyle w:val="NoSpacing"/>
              <w:numPr>
                <w:ilvl w:val="0"/>
                <w:numId w:val="4"/>
              </w:numPr>
              <w:rPr>
                <w:sz w:val="20"/>
                <w:szCs w:val="20"/>
              </w:rPr>
            </w:pPr>
            <w:r>
              <w:rPr>
                <w:sz w:val="20"/>
                <w:szCs w:val="20"/>
              </w:rPr>
              <w:t>Early Years Management</w:t>
            </w:r>
          </w:p>
          <w:p w:rsidR="00F77D42" w:rsidRDefault="00F77D42" w:rsidP="00F77D42">
            <w:pPr>
              <w:pStyle w:val="NoSpacing"/>
              <w:rPr>
                <w:sz w:val="24"/>
                <w:szCs w:val="24"/>
              </w:rPr>
            </w:pPr>
          </w:p>
        </w:tc>
      </w:tr>
    </w:tbl>
    <w:p w:rsidR="00FF4DEE" w:rsidRDefault="00FF4DEE" w:rsidP="004418CF">
      <w:pPr>
        <w:pStyle w:val="NoSpacing"/>
        <w:jc w:val="center"/>
        <w:rPr>
          <w:sz w:val="32"/>
          <w:szCs w:val="32"/>
          <w:u w:val="single"/>
        </w:rPr>
      </w:pPr>
    </w:p>
    <w:p w:rsidR="00515359" w:rsidRPr="00515359" w:rsidRDefault="00515359" w:rsidP="00515359">
      <w:pPr>
        <w:pStyle w:val="PlainText"/>
        <w:rPr>
          <w:rFonts w:ascii="Calibri" w:hAnsi="Calibri" w:cs="Arial"/>
          <w:b/>
          <w:sz w:val="24"/>
          <w:szCs w:val="24"/>
          <w:u w:val="single"/>
        </w:rPr>
      </w:pPr>
      <w:r w:rsidRPr="00515359">
        <w:rPr>
          <w:rFonts w:ascii="Calibri" w:hAnsi="Calibri" w:cs="Arial"/>
          <w:b/>
          <w:sz w:val="24"/>
          <w:szCs w:val="24"/>
          <w:u w:val="single"/>
        </w:rPr>
        <w:t>Leadership and Management</w:t>
      </w:r>
    </w:p>
    <w:p w:rsidR="00515359" w:rsidRPr="00F94BAE" w:rsidRDefault="00515359" w:rsidP="00515359">
      <w:pPr>
        <w:pStyle w:val="PlainText"/>
        <w:rPr>
          <w:rFonts w:ascii="Calibri" w:hAnsi="Calibri" w:cs="Arial"/>
          <w:b/>
          <w:sz w:val="24"/>
          <w:szCs w:val="24"/>
        </w:rPr>
      </w:pPr>
    </w:p>
    <w:p w:rsidR="00515359" w:rsidRPr="00F94BAE" w:rsidRDefault="00515359" w:rsidP="00515359">
      <w:pPr>
        <w:pStyle w:val="ListParagraph"/>
        <w:numPr>
          <w:ilvl w:val="0"/>
          <w:numId w:val="2"/>
        </w:numPr>
        <w:contextualSpacing/>
        <w:jc w:val="both"/>
        <w:rPr>
          <w:rFonts w:ascii="Calibri" w:hAnsi="Calibri" w:cs="Arial"/>
          <w:color w:val="000000"/>
          <w:spacing w:val="4"/>
        </w:rPr>
      </w:pPr>
      <w:r w:rsidRPr="00F94BAE">
        <w:rPr>
          <w:rFonts w:ascii="Calibri" w:hAnsi="Calibri" w:cs="Arial"/>
        </w:rPr>
        <w:t>To monitor the vision for the school and drive for high expectations, assessing the effectiveness of all levels of management and leadership to deliver</w:t>
      </w:r>
      <w:r>
        <w:rPr>
          <w:rFonts w:ascii="Calibri" w:hAnsi="Calibri" w:cs="Arial"/>
        </w:rPr>
        <w:t>.</w:t>
      </w:r>
      <w:r w:rsidRPr="00F94BAE">
        <w:rPr>
          <w:rFonts w:ascii="Calibri" w:hAnsi="Calibri" w:cs="Arial"/>
        </w:rPr>
        <w:t xml:space="preserve"> </w:t>
      </w:r>
    </w:p>
    <w:p w:rsidR="00515359" w:rsidRPr="00F94BAE" w:rsidRDefault="00515359" w:rsidP="00515359">
      <w:pPr>
        <w:pStyle w:val="ListParagraph"/>
        <w:numPr>
          <w:ilvl w:val="0"/>
          <w:numId w:val="2"/>
        </w:numPr>
        <w:contextualSpacing/>
        <w:jc w:val="both"/>
        <w:rPr>
          <w:rFonts w:ascii="Calibri" w:hAnsi="Calibri" w:cs="Arial"/>
          <w:color w:val="000000"/>
          <w:spacing w:val="4"/>
        </w:rPr>
      </w:pPr>
      <w:r w:rsidRPr="00F94BAE">
        <w:rPr>
          <w:rFonts w:ascii="Calibri" w:hAnsi="Calibri"/>
        </w:rPr>
        <w:t>To analyse the overall quality of support and care provided for all children to support learning, personal development and well-being.</w:t>
      </w:r>
    </w:p>
    <w:p w:rsidR="00515359" w:rsidRPr="00F94BAE" w:rsidRDefault="00515359" w:rsidP="00515359">
      <w:pPr>
        <w:pStyle w:val="ListParagraph"/>
        <w:numPr>
          <w:ilvl w:val="0"/>
          <w:numId w:val="2"/>
        </w:numPr>
        <w:contextualSpacing/>
        <w:jc w:val="both"/>
        <w:rPr>
          <w:rFonts w:ascii="Calibri" w:hAnsi="Calibri" w:cs="Arial"/>
          <w:color w:val="000000"/>
          <w:spacing w:val="4"/>
        </w:rPr>
      </w:pPr>
      <w:r w:rsidRPr="00F94BAE">
        <w:rPr>
          <w:rFonts w:ascii="Calibri" w:hAnsi="Calibri"/>
        </w:rPr>
        <w:t>To monitor trends in individual pupils, cohorts, specific groups and the overall school attendance.</w:t>
      </w:r>
    </w:p>
    <w:p w:rsidR="00515359" w:rsidRPr="00F94BAE" w:rsidRDefault="00515359" w:rsidP="00515359">
      <w:pPr>
        <w:pStyle w:val="ListParagraph"/>
        <w:numPr>
          <w:ilvl w:val="0"/>
          <w:numId w:val="2"/>
        </w:numPr>
        <w:contextualSpacing/>
        <w:jc w:val="both"/>
        <w:rPr>
          <w:rFonts w:ascii="Calibri" w:hAnsi="Calibri" w:cs="Arial"/>
          <w:color w:val="000000"/>
          <w:spacing w:val="4"/>
        </w:rPr>
      </w:pPr>
      <w:r w:rsidRPr="00F94BAE">
        <w:rPr>
          <w:rFonts w:ascii="Calibri" w:hAnsi="Calibri" w:cs="Arial"/>
        </w:rPr>
        <w:t>To monitor the overall effectiveness of the Governing Body.</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sz w:val="24"/>
          <w:szCs w:val="24"/>
          <w:lang w:val="en-GB"/>
        </w:rPr>
        <w:t>To oversee the role of sub-committees in challenging and supporting leaders and teachers and t</w:t>
      </w:r>
      <w:r w:rsidRPr="00F94BAE">
        <w:rPr>
          <w:rFonts w:ascii="Calibri" w:hAnsi="Calibri" w:cs="Arial"/>
          <w:sz w:val="24"/>
          <w:szCs w:val="24"/>
        </w:rPr>
        <w:t>o advise the Governing Body on all other matters specified in the overview of the Committee structure.</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sz w:val="24"/>
          <w:szCs w:val="24"/>
          <w:lang w:val="en-GB"/>
        </w:rPr>
        <w:t>To ensure that the Governing Body fulfil their statutory duties.</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sz w:val="24"/>
          <w:szCs w:val="24"/>
          <w:lang w:val="en-GB"/>
        </w:rPr>
        <w:t>To monitor the overall management of the EYFS</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sz w:val="24"/>
          <w:szCs w:val="24"/>
        </w:rPr>
        <w:t xml:space="preserve">To monitor the whole school review </w:t>
      </w:r>
      <w:proofErr w:type="spellStart"/>
      <w:r w:rsidRPr="00F94BAE">
        <w:rPr>
          <w:rFonts w:ascii="Calibri" w:hAnsi="Calibri"/>
          <w:sz w:val="24"/>
          <w:szCs w:val="24"/>
        </w:rPr>
        <w:t>programme</w:t>
      </w:r>
      <w:proofErr w:type="spellEnd"/>
      <w:r w:rsidRPr="00F94BAE">
        <w:rPr>
          <w:rFonts w:ascii="Calibri" w:hAnsi="Calibri"/>
          <w:sz w:val="24"/>
          <w:szCs w:val="24"/>
        </w:rPr>
        <w:t xml:space="preserve"> for policies.</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sz w:val="24"/>
          <w:szCs w:val="24"/>
        </w:rPr>
        <w:t>To review and adopt the local authority Pay and Conditions policy for teachers before seeking its approval from the full Governing Body.</w:t>
      </w:r>
    </w:p>
    <w:p w:rsidR="00515359" w:rsidRPr="00F94BAE" w:rsidRDefault="00515359" w:rsidP="00515359">
      <w:pPr>
        <w:pStyle w:val="ListParagraph"/>
        <w:numPr>
          <w:ilvl w:val="0"/>
          <w:numId w:val="2"/>
        </w:numPr>
        <w:contextualSpacing/>
        <w:jc w:val="both"/>
        <w:rPr>
          <w:rFonts w:ascii="Calibri" w:hAnsi="Calibri" w:cs="Arial"/>
          <w:color w:val="000000"/>
          <w:spacing w:val="4"/>
        </w:rPr>
      </w:pPr>
      <w:r w:rsidRPr="00F94BAE">
        <w:rPr>
          <w:rFonts w:ascii="Calibri" w:hAnsi="Calibri"/>
        </w:rPr>
        <w:lastRenderedPageBreak/>
        <w:t xml:space="preserve">To </w:t>
      </w:r>
      <w:r w:rsidRPr="00F94BAE">
        <w:rPr>
          <w:rFonts w:ascii="Calibri" w:hAnsi="Calibri"/>
          <w:spacing w:val="2"/>
        </w:rPr>
        <w:t xml:space="preserve">implement and amending, if necessary, the school’s performance management policy and </w:t>
      </w:r>
      <w:r w:rsidRPr="00F94BAE">
        <w:rPr>
          <w:rFonts w:ascii="Calibri" w:hAnsi="Calibri"/>
        </w:rPr>
        <w:t xml:space="preserve">ensuring that school teachers (including the </w:t>
      </w:r>
      <w:proofErr w:type="spellStart"/>
      <w:r w:rsidRPr="00F94BAE">
        <w:rPr>
          <w:rFonts w:ascii="Calibri" w:hAnsi="Calibri"/>
        </w:rPr>
        <w:t>Headteacher</w:t>
      </w:r>
      <w:proofErr w:type="spellEnd"/>
      <w:r w:rsidRPr="00F94BAE">
        <w:rPr>
          <w:rFonts w:ascii="Calibri" w:hAnsi="Calibri"/>
        </w:rPr>
        <w:t xml:space="preserve">) receive a regular review of their </w:t>
      </w:r>
      <w:r w:rsidRPr="00F94BAE">
        <w:rPr>
          <w:rFonts w:ascii="Calibri" w:hAnsi="Calibri"/>
          <w:spacing w:val="4"/>
        </w:rPr>
        <w:t>performance.</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color w:val="000000"/>
          <w:spacing w:val="2"/>
          <w:sz w:val="24"/>
          <w:szCs w:val="24"/>
        </w:rPr>
        <w:t xml:space="preserve">To receive a report from the head teacher on an annual review of </w:t>
      </w:r>
      <w:r w:rsidRPr="00F94BAE">
        <w:rPr>
          <w:rFonts w:ascii="Calibri" w:hAnsi="Calibri" w:cs="Arial"/>
          <w:color w:val="000000"/>
          <w:spacing w:val="1"/>
          <w:sz w:val="24"/>
          <w:szCs w:val="24"/>
        </w:rPr>
        <w:t xml:space="preserve">teachers' salaries as required by the Pay and Conditions Document </w:t>
      </w:r>
      <w:r w:rsidRPr="00F94BAE">
        <w:rPr>
          <w:rFonts w:ascii="Calibri" w:hAnsi="Calibri" w:cs="Arial"/>
          <w:color w:val="000000"/>
          <w:sz w:val="24"/>
          <w:szCs w:val="24"/>
        </w:rPr>
        <w:t xml:space="preserve">and make arrangements to inform staff of the outcome (staff </w:t>
      </w:r>
      <w:r w:rsidRPr="00F94BAE">
        <w:rPr>
          <w:rFonts w:ascii="Calibri" w:hAnsi="Calibri" w:cs="Arial"/>
          <w:color w:val="000000"/>
          <w:spacing w:val="3"/>
          <w:sz w:val="24"/>
          <w:szCs w:val="24"/>
        </w:rPr>
        <w:t>representatives cannot take part in this exercise</w:t>
      </w:r>
      <w:r>
        <w:rPr>
          <w:rFonts w:ascii="Calibri" w:hAnsi="Calibri" w:cs="Arial"/>
          <w:color w:val="000000"/>
          <w:spacing w:val="3"/>
          <w:sz w:val="24"/>
          <w:szCs w:val="24"/>
        </w:rPr>
        <w:t>).</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sz w:val="24"/>
          <w:szCs w:val="24"/>
        </w:rPr>
        <w:t xml:space="preserve">To review the salary of the </w:t>
      </w:r>
      <w:proofErr w:type="spellStart"/>
      <w:r w:rsidRPr="00F94BAE">
        <w:rPr>
          <w:rFonts w:ascii="Calibri" w:hAnsi="Calibri" w:cs="Arial"/>
          <w:sz w:val="24"/>
          <w:szCs w:val="24"/>
        </w:rPr>
        <w:t>Headteacher</w:t>
      </w:r>
      <w:proofErr w:type="spellEnd"/>
      <w:r w:rsidRPr="00F94BAE">
        <w:rPr>
          <w:rFonts w:ascii="Calibri" w:hAnsi="Calibri" w:cs="Arial"/>
          <w:sz w:val="24"/>
          <w:szCs w:val="24"/>
        </w:rPr>
        <w:t xml:space="preserve"> annually.</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sz w:val="24"/>
          <w:szCs w:val="24"/>
        </w:rPr>
        <w:t>To determine the use of the school premises outside school sessions, including advising the Governing Body on the charging policy (setting charge cannot be delegated to a Committee by law).</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color w:val="000000"/>
          <w:spacing w:val="14"/>
          <w:sz w:val="24"/>
          <w:szCs w:val="24"/>
        </w:rPr>
        <w:t>To undertake any formal consultations on personnel matters.</w:t>
      </w:r>
    </w:p>
    <w:p w:rsidR="00515359" w:rsidRPr="00F94BAE" w:rsidRDefault="00515359" w:rsidP="00515359">
      <w:pPr>
        <w:pStyle w:val="PlainText"/>
        <w:numPr>
          <w:ilvl w:val="0"/>
          <w:numId w:val="2"/>
        </w:numPr>
        <w:rPr>
          <w:rFonts w:ascii="Calibri" w:hAnsi="Calibri" w:cs="Arial"/>
          <w:sz w:val="24"/>
          <w:szCs w:val="24"/>
        </w:rPr>
      </w:pPr>
      <w:r w:rsidRPr="00F94BAE">
        <w:rPr>
          <w:rFonts w:ascii="Calibri" w:hAnsi="Calibri" w:cs="Arial"/>
          <w:color w:val="000000"/>
          <w:spacing w:val="10"/>
          <w:sz w:val="24"/>
          <w:szCs w:val="24"/>
        </w:rPr>
        <w:t xml:space="preserve">To review and recommend to the Governing Body for adoption, </w:t>
      </w:r>
      <w:r w:rsidRPr="00F94BAE">
        <w:rPr>
          <w:rFonts w:ascii="Calibri" w:hAnsi="Calibri" w:cs="Arial"/>
          <w:color w:val="000000"/>
          <w:sz w:val="24"/>
          <w:szCs w:val="24"/>
        </w:rPr>
        <w:t xml:space="preserve">procedures for dealing with discipline and grievances, pertaining to </w:t>
      </w:r>
      <w:r w:rsidRPr="00F94BAE">
        <w:rPr>
          <w:rFonts w:ascii="Calibri" w:hAnsi="Calibri" w:cs="Arial"/>
          <w:color w:val="000000"/>
          <w:spacing w:val="3"/>
          <w:sz w:val="24"/>
          <w:szCs w:val="24"/>
        </w:rPr>
        <w:t>staffing issues, and ensure staff are aware of these.</w:t>
      </w: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z w:val="24"/>
          <w:szCs w:val="24"/>
        </w:rPr>
        <w:t xml:space="preserve">To consider and make any decisions about matters relating to </w:t>
      </w:r>
      <w:r w:rsidRPr="00F94BAE">
        <w:rPr>
          <w:rFonts w:ascii="Calibri" w:hAnsi="Calibri"/>
          <w:spacing w:val="2"/>
          <w:sz w:val="24"/>
          <w:szCs w:val="24"/>
        </w:rPr>
        <w:t xml:space="preserve">discipline of staff or staff grievances in accordance with the procedures adopted. </w:t>
      </w: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z w:val="24"/>
          <w:szCs w:val="24"/>
        </w:rPr>
        <w:t>To identify and address issues related to developing pupils’ spiritual development.</w:t>
      </w:r>
    </w:p>
    <w:p w:rsidR="00515359" w:rsidRPr="00F94BAE" w:rsidRDefault="00515359" w:rsidP="00515359">
      <w:pPr>
        <w:pStyle w:val="PlainText"/>
        <w:numPr>
          <w:ilvl w:val="0"/>
          <w:numId w:val="2"/>
        </w:numPr>
        <w:rPr>
          <w:rFonts w:ascii="Calibri" w:hAnsi="Calibri" w:cs="Arial"/>
          <w:color w:val="000000"/>
          <w:spacing w:val="2"/>
          <w:sz w:val="24"/>
          <w:szCs w:val="24"/>
        </w:rPr>
      </w:pPr>
      <w:r>
        <w:rPr>
          <w:rFonts w:ascii="Calibri" w:hAnsi="Calibri" w:cs="Arial"/>
          <w:sz w:val="24"/>
          <w:szCs w:val="24"/>
        </w:rPr>
        <w:t>To monitor parents’/</w:t>
      </w:r>
      <w:proofErr w:type="spellStart"/>
      <w:r w:rsidRPr="00F94BAE">
        <w:rPr>
          <w:rFonts w:ascii="Calibri" w:hAnsi="Calibri" w:cs="Arial"/>
          <w:sz w:val="24"/>
          <w:szCs w:val="24"/>
        </w:rPr>
        <w:t>carers’</w:t>
      </w:r>
      <w:proofErr w:type="spellEnd"/>
      <w:r w:rsidRPr="00F94BAE">
        <w:rPr>
          <w:rFonts w:ascii="Calibri" w:hAnsi="Calibri" w:cs="Arial"/>
          <w:sz w:val="24"/>
          <w:szCs w:val="24"/>
        </w:rPr>
        <w:t xml:space="preserve"> views and opinions.</w:t>
      </w:r>
    </w:p>
    <w:p w:rsidR="00515359" w:rsidRDefault="00515359" w:rsidP="00515359">
      <w:pPr>
        <w:pStyle w:val="PlainText"/>
        <w:outlineLvl w:val="0"/>
        <w:rPr>
          <w:rFonts w:ascii="Calibri" w:hAnsi="Calibri" w:cs="Arial"/>
          <w:b/>
          <w:sz w:val="24"/>
          <w:szCs w:val="24"/>
        </w:rPr>
      </w:pPr>
    </w:p>
    <w:p w:rsidR="00515359" w:rsidRDefault="00515359" w:rsidP="00515359">
      <w:pPr>
        <w:pStyle w:val="PlainText"/>
        <w:outlineLvl w:val="0"/>
        <w:rPr>
          <w:rFonts w:ascii="Calibri" w:hAnsi="Calibri" w:cs="Arial"/>
          <w:b/>
          <w:sz w:val="24"/>
          <w:szCs w:val="24"/>
        </w:rPr>
      </w:pPr>
    </w:p>
    <w:p w:rsidR="00515359" w:rsidRPr="00515359" w:rsidRDefault="00515359" w:rsidP="00515359">
      <w:pPr>
        <w:pStyle w:val="PlainText"/>
        <w:outlineLvl w:val="0"/>
        <w:rPr>
          <w:rFonts w:ascii="Calibri" w:hAnsi="Calibri" w:cs="Arial"/>
          <w:b/>
          <w:sz w:val="24"/>
          <w:szCs w:val="24"/>
          <w:u w:val="single"/>
        </w:rPr>
      </w:pPr>
      <w:r w:rsidRPr="00515359">
        <w:rPr>
          <w:rFonts w:ascii="Calibri" w:hAnsi="Calibri" w:cs="Arial"/>
          <w:b/>
          <w:sz w:val="24"/>
          <w:szCs w:val="24"/>
          <w:u w:val="single"/>
        </w:rPr>
        <w:t>Finance</w:t>
      </w:r>
    </w:p>
    <w:p w:rsidR="00515359" w:rsidRPr="00F94BAE" w:rsidRDefault="00515359" w:rsidP="00515359">
      <w:pPr>
        <w:pStyle w:val="PlainText"/>
        <w:outlineLvl w:val="0"/>
        <w:rPr>
          <w:rFonts w:ascii="Calibri" w:hAnsi="Calibri" w:cs="Arial"/>
          <w:sz w:val="24"/>
          <w:szCs w:val="24"/>
          <w:u w:val="single"/>
        </w:rPr>
      </w:pPr>
    </w:p>
    <w:p w:rsidR="00515359" w:rsidRPr="00F94BAE" w:rsidRDefault="00515359" w:rsidP="00515359">
      <w:pPr>
        <w:pStyle w:val="ListParagraph"/>
        <w:numPr>
          <w:ilvl w:val="0"/>
          <w:numId w:val="3"/>
        </w:numPr>
        <w:contextualSpacing/>
        <w:rPr>
          <w:rFonts w:ascii="Calibri" w:hAnsi="Calibri" w:cs="Arial"/>
        </w:rPr>
      </w:pPr>
      <w:r w:rsidRPr="00F94BAE">
        <w:rPr>
          <w:rFonts w:ascii="Calibri" w:hAnsi="Calibri" w:cs="Arial"/>
        </w:rPr>
        <w:t xml:space="preserve">To provide guidance and assistance to the </w:t>
      </w:r>
      <w:proofErr w:type="spellStart"/>
      <w:r w:rsidRPr="00F94BAE">
        <w:rPr>
          <w:rFonts w:ascii="Calibri" w:hAnsi="Calibri" w:cs="Arial"/>
        </w:rPr>
        <w:t>Headteacher</w:t>
      </w:r>
      <w:proofErr w:type="spellEnd"/>
      <w:r w:rsidRPr="00F94BAE">
        <w:rPr>
          <w:rFonts w:ascii="Calibri" w:hAnsi="Calibri" w:cs="Arial"/>
        </w:rPr>
        <w:t xml:space="preserve"> and the Governing Body in all matters relating to budgeting and finance.</w:t>
      </w:r>
    </w:p>
    <w:p w:rsidR="00515359" w:rsidRPr="00F94BAE" w:rsidRDefault="00515359" w:rsidP="00515359">
      <w:pPr>
        <w:numPr>
          <w:ilvl w:val="0"/>
          <w:numId w:val="3"/>
        </w:numPr>
        <w:rPr>
          <w:rFonts w:ascii="Calibri" w:hAnsi="Calibri" w:cs="Arial"/>
        </w:rPr>
      </w:pPr>
      <w:r w:rsidRPr="00F94BAE">
        <w:rPr>
          <w:rFonts w:ascii="Calibri" w:hAnsi="Calibri" w:cs="Arial"/>
        </w:rPr>
        <w:t>To consider and recommend the annual budget to the Governing Body, which is targeted at delivering the School Development Plan.</w:t>
      </w:r>
    </w:p>
    <w:p w:rsidR="00515359" w:rsidRPr="00F94BAE" w:rsidRDefault="00515359" w:rsidP="00515359">
      <w:pPr>
        <w:numPr>
          <w:ilvl w:val="0"/>
          <w:numId w:val="3"/>
        </w:numPr>
        <w:rPr>
          <w:rFonts w:ascii="Calibri" w:hAnsi="Calibri" w:cs="Arial"/>
        </w:rPr>
      </w:pPr>
      <w:r w:rsidRPr="00F94BAE">
        <w:rPr>
          <w:rFonts w:ascii="Calibri" w:hAnsi="Calibri" w:cs="Arial"/>
        </w:rPr>
        <w:t>To consider the impact of pupil number forecasts on the school’s future funding.</w:t>
      </w:r>
    </w:p>
    <w:p w:rsidR="00515359" w:rsidRPr="00F94BAE" w:rsidRDefault="00515359" w:rsidP="00515359">
      <w:pPr>
        <w:numPr>
          <w:ilvl w:val="0"/>
          <w:numId w:val="3"/>
        </w:numPr>
        <w:rPr>
          <w:rFonts w:ascii="Calibri" w:hAnsi="Calibri" w:cs="Arial"/>
        </w:rPr>
      </w:pPr>
      <w:r w:rsidRPr="00F94BAE">
        <w:rPr>
          <w:rFonts w:ascii="Calibri" w:hAnsi="Calibri"/>
        </w:rPr>
        <w:t>To oversee the financial management of the budget, to monitor the income and expenditure of all official funds (i.e. fully delegated and earmarked funds) and report the financial situation to the Governing Body each term.</w:t>
      </w:r>
    </w:p>
    <w:p w:rsidR="00515359" w:rsidRPr="00F94BAE" w:rsidRDefault="00515359" w:rsidP="00515359">
      <w:pPr>
        <w:numPr>
          <w:ilvl w:val="0"/>
          <w:numId w:val="3"/>
        </w:numPr>
        <w:rPr>
          <w:rFonts w:ascii="Calibri" w:hAnsi="Calibri" w:cs="Arial"/>
        </w:rPr>
      </w:pPr>
      <w:r w:rsidRPr="00F94BAE">
        <w:rPr>
          <w:rFonts w:ascii="Calibri" w:hAnsi="Calibri"/>
        </w:rPr>
        <w:t>To ensure compliance with the Local Authority’s financial regulations and financial procedures.</w:t>
      </w:r>
    </w:p>
    <w:p w:rsidR="00515359" w:rsidRPr="00F94BAE" w:rsidRDefault="00515359" w:rsidP="00515359">
      <w:pPr>
        <w:pStyle w:val="PlainText"/>
        <w:numPr>
          <w:ilvl w:val="0"/>
          <w:numId w:val="3"/>
        </w:numPr>
        <w:rPr>
          <w:rFonts w:ascii="Calibri" w:hAnsi="Calibri" w:cs="Arial"/>
          <w:sz w:val="24"/>
          <w:szCs w:val="24"/>
        </w:rPr>
      </w:pPr>
      <w:r w:rsidRPr="00F94BAE">
        <w:rPr>
          <w:rFonts w:ascii="Calibri" w:hAnsi="Calibri" w:cs="Arial"/>
          <w:sz w:val="24"/>
          <w:szCs w:val="24"/>
        </w:rPr>
        <w:t xml:space="preserve">To oversee the </w:t>
      </w:r>
      <w:r w:rsidRPr="00F94BAE">
        <w:rPr>
          <w:rFonts w:ascii="Calibri" w:hAnsi="Calibri" w:cs="Arial"/>
          <w:sz w:val="24"/>
          <w:szCs w:val="24"/>
          <w:lang w:val="en-GB"/>
        </w:rPr>
        <w:t>efficient, effective and economical management of the school’s resources, including staff,</w:t>
      </w:r>
      <w:r w:rsidRPr="00F94BAE">
        <w:rPr>
          <w:rFonts w:ascii="Calibri" w:hAnsi="Calibri" w:cs="Arial"/>
          <w:sz w:val="24"/>
          <w:szCs w:val="24"/>
        </w:rPr>
        <w:t xml:space="preserve"> </w:t>
      </w:r>
      <w:r w:rsidRPr="00F94BAE">
        <w:rPr>
          <w:rFonts w:ascii="Calibri" w:hAnsi="Calibri" w:cs="Arial"/>
          <w:sz w:val="24"/>
          <w:szCs w:val="24"/>
          <w:lang w:val="en-GB"/>
        </w:rPr>
        <w:t>accommodation use, material resources and equipment</w:t>
      </w:r>
    </w:p>
    <w:p w:rsidR="00515359" w:rsidRPr="00F94BAE" w:rsidRDefault="00515359" w:rsidP="00515359">
      <w:pPr>
        <w:numPr>
          <w:ilvl w:val="0"/>
          <w:numId w:val="3"/>
        </w:numPr>
        <w:rPr>
          <w:rFonts w:ascii="Calibri" w:hAnsi="Calibri" w:cs="Arial"/>
        </w:rPr>
      </w:pPr>
      <w:r w:rsidRPr="00F94BAE">
        <w:rPr>
          <w:rFonts w:ascii="Calibri" w:hAnsi="Calibri" w:cs="Arial"/>
        </w:rPr>
        <w:t>To consider recommendations from other committees, which have financial implications and to provide advice to the Governing Body accordingly.</w:t>
      </w:r>
    </w:p>
    <w:p w:rsidR="00515359" w:rsidRPr="00F94BAE" w:rsidRDefault="00515359" w:rsidP="00515359">
      <w:pPr>
        <w:numPr>
          <w:ilvl w:val="0"/>
          <w:numId w:val="3"/>
        </w:numPr>
        <w:rPr>
          <w:rFonts w:ascii="Calibri" w:hAnsi="Calibri" w:cs="Arial"/>
        </w:rPr>
      </w:pPr>
      <w:r w:rsidRPr="00F94BAE">
        <w:rPr>
          <w:rFonts w:ascii="Calibri" w:hAnsi="Calibri" w:cs="Arial"/>
        </w:rPr>
        <w:t>To evaluate the effectiveness of the school’s deployment of resources to achieve value for money and of financial decisions</w:t>
      </w:r>
      <w:r>
        <w:rPr>
          <w:rFonts w:ascii="Calibri" w:hAnsi="Calibri" w:cs="Arial"/>
        </w:rPr>
        <w:t>.</w:t>
      </w:r>
      <w:r w:rsidRPr="00F94BAE">
        <w:rPr>
          <w:rFonts w:ascii="Calibri" w:hAnsi="Calibri" w:cs="Arial"/>
        </w:rPr>
        <w:t xml:space="preserve"> </w:t>
      </w:r>
    </w:p>
    <w:p w:rsidR="00515359" w:rsidRPr="00F94BAE" w:rsidRDefault="00515359" w:rsidP="00515359">
      <w:pPr>
        <w:numPr>
          <w:ilvl w:val="0"/>
          <w:numId w:val="3"/>
        </w:numPr>
        <w:rPr>
          <w:rFonts w:ascii="Calibri" w:hAnsi="Calibri" w:cs="Arial"/>
        </w:rPr>
      </w:pPr>
      <w:r w:rsidRPr="00F94BAE">
        <w:rPr>
          <w:rFonts w:ascii="Calibri" w:hAnsi="Calibri" w:cs="Arial"/>
        </w:rPr>
        <w:t>To ensure the adequacy of the internal financial control framework within the school and to appraise any proposed changes to financial systems, procedures and limits of delegated authority on behalf of the Governing Body.</w:t>
      </w:r>
    </w:p>
    <w:p w:rsidR="00515359" w:rsidRPr="00F94BAE" w:rsidRDefault="00515359" w:rsidP="00515359">
      <w:pPr>
        <w:numPr>
          <w:ilvl w:val="0"/>
          <w:numId w:val="3"/>
        </w:numPr>
        <w:rPr>
          <w:rFonts w:ascii="Calibri" w:hAnsi="Calibri" w:cs="Arial"/>
        </w:rPr>
      </w:pPr>
      <w:r w:rsidRPr="00F94BAE">
        <w:rPr>
          <w:rFonts w:ascii="Calibri" w:hAnsi="Calibri" w:cs="Arial"/>
        </w:rPr>
        <w:t>To ensure that the same high standards of stewardship afforded to the official funds are applied in relation to the school’s unofficial funds.</w:t>
      </w:r>
    </w:p>
    <w:p w:rsidR="00515359" w:rsidRPr="00F94BAE" w:rsidRDefault="00515359" w:rsidP="00515359">
      <w:pPr>
        <w:numPr>
          <w:ilvl w:val="0"/>
          <w:numId w:val="3"/>
        </w:numPr>
        <w:rPr>
          <w:rFonts w:ascii="Calibri" w:hAnsi="Calibri" w:cs="Arial"/>
        </w:rPr>
      </w:pPr>
      <w:r w:rsidRPr="00F94BAE">
        <w:rPr>
          <w:rFonts w:ascii="Calibri" w:hAnsi="Calibri" w:cs="Arial"/>
        </w:rPr>
        <w:t>To receive and appraise, on behalf of the Governing Body, the termly financial reports on transactions and balances within the Unofficial Fund and the end of year accounts and Auditor’s certificate.</w:t>
      </w:r>
    </w:p>
    <w:p w:rsidR="00515359" w:rsidRPr="00F94BAE" w:rsidRDefault="00515359" w:rsidP="00515359">
      <w:pPr>
        <w:numPr>
          <w:ilvl w:val="0"/>
          <w:numId w:val="3"/>
        </w:numPr>
        <w:rPr>
          <w:rFonts w:ascii="Calibri" w:hAnsi="Calibri" w:cs="Arial"/>
        </w:rPr>
      </w:pPr>
      <w:r w:rsidRPr="00F94BAE">
        <w:rPr>
          <w:rFonts w:ascii="Calibri" w:hAnsi="Calibri" w:cs="Arial"/>
        </w:rPr>
        <w:lastRenderedPageBreak/>
        <w:t>To review annually the school’s charging policy and the adequacy of the school’s insurance and make recommendations to the Governing Body accordingly.</w:t>
      </w:r>
    </w:p>
    <w:p w:rsidR="00515359" w:rsidRPr="00F94BAE" w:rsidRDefault="00515359" w:rsidP="00515359">
      <w:pPr>
        <w:numPr>
          <w:ilvl w:val="0"/>
          <w:numId w:val="3"/>
        </w:numPr>
        <w:rPr>
          <w:rFonts w:ascii="Calibri" w:hAnsi="Calibri" w:cs="Arial"/>
        </w:rPr>
      </w:pPr>
      <w:r w:rsidRPr="00F94BAE">
        <w:rPr>
          <w:rFonts w:ascii="Calibri" w:hAnsi="Calibri" w:cs="Arial"/>
        </w:rPr>
        <w:t>To monitor all financial information provided by the Local Authority and to report, as appropriate, to the Governing Body.</w:t>
      </w:r>
    </w:p>
    <w:p w:rsidR="00515359" w:rsidRPr="00F94BAE" w:rsidRDefault="00515359" w:rsidP="00515359">
      <w:pPr>
        <w:numPr>
          <w:ilvl w:val="0"/>
          <w:numId w:val="3"/>
        </w:numPr>
        <w:rPr>
          <w:rFonts w:ascii="Calibri" w:hAnsi="Calibri" w:cs="Arial"/>
        </w:rPr>
      </w:pPr>
      <w:r w:rsidRPr="00F94BAE">
        <w:rPr>
          <w:rFonts w:ascii="Calibri" w:hAnsi="Calibri" w:cs="Arial"/>
        </w:rPr>
        <w:t>To consider all spending plans and to advise the Governing Body.</w:t>
      </w:r>
    </w:p>
    <w:p w:rsidR="00515359" w:rsidRPr="00F94BAE" w:rsidRDefault="00515359" w:rsidP="00515359">
      <w:pPr>
        <w:numPr>
          <w:ilvl w:val="0"/>
          <w:numId w:val="3"/>
        </w:numPr>
        <w:rPr>
          <w:rFonts w:ascii="Calibri" w:hAnsi="Calibri" w:cs="Arial"/>
        </w:rPr>
      </w:pPr>
      <w:r w:rsidRPr="00F94BAE">
        <w:rPr>
          <w:rFonts w:ascii="Calibri" w:hAnsi="Calibri" w:cs="Arial"/>
        </w:rPr>
        <w:t xml:space="preserve">To agree the level of delegation to the </w:t>
      </w:r>
      <w:proofErr w:type="spellStart"/>
      <w:r w:rsidRPr="00F94BAE">
        <w:rPr>
          <w:rFonts w:ascii="Calibri" w:hAnsi="Calibri" w:cs="Arial"/>
        </w:rPr>
        <w:t>Headteacher</w:t>
      </w:r>
      <w:proofErr w:type="spellEnd"/>
      <w:r w:rsidRPr="00F94BAE">
        <w:rPr>
          <w:rFonts w:ascii="Calibri" w:hAnsi="Calibri" w:cs="Arial"/>
        </w:rPr>
        <w:t xml:space="preserve"> of day to day financial management of the school.</w:t>
      </w:r>
    </w:p>
    <w:p w:rsidR="00515359" w:rsidRPr="00F94BAE" w:rsidRDefault="00515359" w:rsidP="00515359">
      <w:pPr>
        <w:numPr>
          <w:ilvl w:val="0"/>
          <w:numId w:val="3"/>
        </w:numPr>
        <w:rPr>
          <w:rFonts w:ascii="Calibri" w:hAnsi="Calibri" w:cs="Arial"/>
        </w:rPr>
      </w:pPr>
      <w:r w:rsidRPr="00F94BAE">
        <w:rPr>
          <w:rFonts w:ascii="Calibri" w:hAnsi="Calibri" w:cs="Arial"/>
        </w:rPr>
        <w:t>To ensure that the requirement for non-public funds to be audited is carried out annually.</w:t>
      </w:r>
    </w:p>
    <w:p w:rsidR="00515359" w:rsidRPr="00F94BAE" w:rsidRDefault="00515359" w:rsidP="00515359">
      <w:pPr>
        <w:pStyle w:val="PlainText"/>
        <w:rPr>
          <w:rFonts w:ascii="Calibri" w:hAnsi="Calibri" w:cs="Arial"/>
          <w:sz w:val="24"/>
          <w:szCs w:val="24"/>
        </w:rPr>
      </w:pP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z w:val="24"/>
          <w:szCs w:val="24"/>
        </w:rPr>
        <w:t>To monitor the extent to which school engages parents when making decisions at all levels.</w:t>
      </w: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z w:val="24"/>
          <w:szCs w:val="24"/>
        </w:rPr>
        <w:t xml:space="preserve">To review and develop communication with parents and </w:t>
      </w:r>
      <w:proofErr w:type="spellStart"/>
      <w:r w:rsidRPr="00F94BAE">
        <w:rPr>
          <w:rFonts w:ascii="Calibri" w:hAnsi="Calibri"/>
          <w:sz w:val="24"/>
          <w:szCs w:val="24"/>
        </w:rPr>
        <w:t>carers</w:t>
      </w:r>
      <w:proofErr w:type="spellEnd"/>
      <w:r w:rsidRPr="00F94BAE">
        <w:rPr>
          <w:rFonts w:ascii="Calibri" w:hAnsi="Calibri"/>
          <w:sz w:val="24"/>
          <w:szCs w:val="24"/>
        </w:rPr>
        <w:t>.</w:t>
      </w: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z w:val="24"/>
          <w:szCs w:val="24"/>
        </w:rPr>
        <w:t>To monitor the school’s and Governors’ engagement with external agencies and</w:t>
      </w:r>
      <w:r w:rsidRPr="00F94BAE">
        <w:rPr>
          <w:rFonts w:ascii="Calibri" w:hAnsi="Calibri" w:cs="Arial"/>
          <w:color w:val="000000"/>
          <w:spacing w:val="2"/>
          <w:sz w:val="24"/>
          <w:szCs w:val="24"/>
        </w:rPr>
        <w:t xml:space="preserve"> </w:t>
      </w:r>
      <w:r w:rsidRPr="00F94BAE">
        <w:rPr>
          <w:rFonts w:ascii="Calibri" w:hAnsi="Calibri"/>
          <w:sz w:val="24"/>
          <w:szCs w:val="24"/>
        </w:rPr>
        <w:t>providers, especially through EIP (SHECIP).</w:t>
      </w:r>
    </w:p>
    <w:p w:rsidR="00515359" w:rsidRPr="00F94BAE" w:rsidRDefault="00515359" w:rsidP="00515359">
      <w:pPr>
        <w:pStyle w:val="PlainText"/>
        <w:numPr>
          <w:ilvl w:val="0"/>
          <w:numId w:val="2"/>
        </w:numPr>
        <w:rPr>
          <w:rFonts w:ascii="Calibri" w:hAnsi="Calibri" w:cs="Arial"/>
          <w:color w:val="000000"/>
          <w:spacing w:val="2"/>
          <w:sz w:val="24"/>
          <w:szCs w:val="24"/>
        </w:rPr>
      </w:pPr>
      <w:r w:rsidRPr="00F94BAE">
        <w:rPr>
          <w:rFonts w:ascii="Calibri" w:hAnsi="Calibri"/>
          <w:spacing w:val="3"/>
          <w:sz w:val="24"/>
          <w:szCs w:val="24"/>
        </w:rPr>
        <w:t>T</w:t>
      </w:r>
      <w:r w:rsidRPr="00F94BAE">
        <w:rPr>
          <w:rFonts w:ascii="Calibri" w:hAnsi="Calibri"/>
          <w:sz w:val="24"/>
          <w:szCs w:val="24"/>
        </w:rPr>
        <w:t xml:space="preserve">o contribute to the development of the school improvement plan </w:t>
      </w:r>
      <w:r w:rsidRPr="00F94BAE">
        <w:rPr>
          <w:rFonts w:ascii="Calibri" w:hAnsi="Calibri"/>
          <w:spacing w:val="-4"/>
          <w:sz w:val="24"/>
          <w:szCs w:val="24"/>
        </w:rPr>
        <w:t xml:space="preserve">and </w:t>
      </w:r>
      <w:proofErr w:type="spellStart"/>
      <w:r w:rsidRPr="00F94BAE">
        <w:rPr>
          <w:rFonts w:ascii="Calibri" w:hAnsi="Calibri"/>
          <w:spacing w:val="-4"/>
          <w:sz w:val="24"/>
          <w:szCs w:val="24"/>
        </w:rPr>
        <w:t>self evaluation</w:t>
      </w:r>
      <w:proofErr w:type="spellEnd"/>
      <w:r w:rsidRPr="00F94BAE">
        <w:rPr>
          <w:rFonts w:ascii="Calibri" w:hAnsi="Calibri" w:cs="Arial"/>
          <w:color w:val="000000"/>
          <w:spacing w:val="2"/>
          <w:sz w:val="24"/>
          <w:szCs w:val="24"/>
        </w:rPr>
        <w:t xml:space="preserve"> f</w:t>
      </w:r>
      <w:r w:rsidRPr="00F94BAE">
        <w:rPr>
          <w:rFonts w:ascii="Calibri" w:hAnsi="Calibri"/>
          <w:spacing w:val="-4"/>
          <w:sz w:val="24"/>
          <w:szCs w:val="24"/>
        </w:rPr>
        <w:t>orm and school profile.</w:t>
      </w:r>
    </w:p>
    <w:p w:rsidR="00515359" w:rsidRDefault="00515359" w:rsidP="00515359"/>
    <w:p w:rsidR="004418CF" w:rsidRPr="00BF46BE" w:rsidRDefault="004418CF" w:rsidP="004418CF">
      <w:pPr>
        <w:pStyle w:val="NoSpacing"/>
        <w:jc w:val="center"/>
        <w:rPr>
          <w:sz w:val="32"/>
          <w:szCs w:val="32"/>
        </w:rPr>
      </w:pPr>
    </w:p>
    <w:sectPr w:rsidR="004418CF" w:rsidRPr="00BF46BE" w:rsidSect="008624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D1" w:rsidRDefault="003942D1" w:rsidP="0018386B">
      <w:r>
        <w:separator/>
      </w:r>
    </w:p>
  </w:endnote>
  <w:endnote w:type="continuationSeparator" w:id="0">
    <w:p w:rsidR="003942D1" w:rsidRDefault="003942D1" w:rsidP="0018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062"/>
      <w:docPartObj>
        <w:docPartGallery w:val="Page Numbers (Bottom of Page)"/>
        <w:docPartUnique/>
      </w:docPartObj>
    </w:sdtPr>
    <w:sdtEndPr/>
    <w:sdtContent>
      <w:sdt>
        <w:sdtPr>
          <w:id w:val="565050523"/>
          <w:docPartObj>
            <w:docPartGallery w:val="Page Numbers (Top of Page)"/>
            <w:docPartUnique/>
          </w:docPartObj>
        </w:sdtPr>
        <w:sdtEndPr/>
        <w:sdtContent>
          <w:p w:rsidR="003B54F9" w:rsidRDefault="003B54F9">
            <w:pPr>
              <w:pStyle w:val="Footer"/>
              <w:jc w:val="right"/>
            </w:pPr>
            <w:r w:rsidRPr="004A3F6B">
              <w:rPr>
                <w:sz w:val="16"/>
                <w:szCs w:val="16"/>
              </w:rPr>
              <w:t xml:space="preserve">Terms of Reference </w:t>
            </w:r>
            <w:r w:rsidR="00A716AA">
              <w:rPr>
                <w:sz w:val="16"/>
                <w:szCs w:val="16"/>
              </w:rPr>
              <w:t xml:space="preserve">Leadership and </w:t>
            </w:r>
            <w:proofErr w:type="gramStart"/>
            <w:r w:rsidR="00A716AA">
              <w:rPr>
                <w:sz w:val="16"/>
                <w:szCs w:val="16"/>
              </w:rPr>
              <w:t>Management</w:t>
            </w:r>
            <w:r w:rsidR="004A3F6B">
              <w:rPr>
                <w:sz w:val="16"/>
                <w:szCs w:val="16"/>
              </w:rPr>
              <w:t xml:space="preserve"> </w:t>
            </w:r>
            <w:r w:rsidRPr="004A3F6B">
              <w:rPr>
                <w:sz w:val="16"/>
                <w:szCs w:val="16"/>
              </w:rPr>
              <w:t xml:space="preserve"> </w:t>
            </w:r>
            <w:r w:rsidR="004A3F6B" w:rsidRPr="004A3F6B">
              <w:rPr>
                <w:sz w:val="16"/>
                <w:szCs w:val="16"/>
              </w:rPr>
              <w:t>Committee</w:t>
            </w:r>
            <w:proofErr w:type="gramEnd"/>
            <w:r w:rsidR="00381B10">
              <w:rPr>
                <w:sz w:val="16"/>
                <w:szCs w:val="16"/>
              </w:rPr>
              <w:t xml:space="preserve"> 2016</w:t>
            </w:r>
            <w:r w:rsidRPr="004A3F6B">
              <w:rPr>
                <w:sz w:val="16"/>
                <w:szCs w:val="16"/>
              </w:rPr>
              <w:t xml:space="preserve">  </w:t>
            </w:r>
            <w:r w:rsidR="004A3F6B">
              <w:rPr>
                <w:sz w:val="16"/>
                <w:szCs w:val="16"/>
              </w:rPr>
              <w:t xml:space="preserve">                </w:t>
            </w:r>
            <w:r w:rsidRPr="004A3F6B">
              <w:rPr>
                <w:sz w:val="16"/>
                <w:szCs w:val="16"/>
              </w:rPr>
              <w:t xml:space="preserve"> Page </w:t>
            </w:r>
            <w:r w:rsidR="00B3522E" w:rsidRPr="004A3F6B">
              <w:rPr>
                <w:b/>
                <w:sz w:val="16"/>
                <w:szCs w:val="16"/>
              </w:rPr>
              <w:fldChar w:fldCharType="begin"/>
            </w:r>
            <w:r w:rsidRPr="004A3F6B">
              <w:rPr>
                <w:b/>
                <w:sz w:val="16"/>
                <w:szCs w:val="16"/>
              </w:rPr>
              <w:instrText xml:space="preserve"> PAGE </w:instrText>
            </w:r>
            <w:r w:rsidR="00B3522E" w:rsidRPr="004A3F6B">
              <w:rPr>
                <w:b/>
                <w:sz w:val="16"/>
                <w:szCs w:val="16"/>
              </w:rPr>
              <w:fldChar w:fldCharType="separate"/>
            </w:r>
            <w:r w:rsidR="00567CFA">
              <w:rPr>
                <w:b/>
                <w:noProof/>
                <w:sz w:val="16"/>
                <w:szCs w:val="16"/>
              </w:rPr>
              <w:t>1</w:t>
            </w:r>
            <w:r w:rsidR="00B3522E" w:rsidRPr="004A3F6B">
              <w:rPr>
                <w:b/>
                <w:sz w:val="16"/>
                <w:szCs w:val="16"/>
              </w:rPr>
              <w:fldChar w:fldCharType="end"/>
            </w:r>
            <w:r w:rsidRPr="004A3F6B">
              <w:rPr>
                <w:sz w:val="16"/>
                <w:szCs w:val="16"/>
              </w:rPr>
              <w:t xml:space="preserve"> of </w:t>
            </w:r>
            <w:r w:rsidR="00B3522E" w:rsidRPr="004A3F6B">
              <w:rPr>
                <w:b/>
                <w:sz w:val="16"/>
                <w:szCs w:val="16"/>
              </w:rPr>
              <w:fldChar w:fldCharType="begin"/>
            </w:r>
            <w:r w:rsidRPr="004A3F6B">
              <w:rPr>
                <w:b/>
                <w:sz w:val="16"/>
                <w:szCs w:val="16"/>
              </w:rPr>
              <w:instrText xml:space="preserve"> NUMPAGES  </w:instrText>
            </w:r>
            <w:r w:rsidR="00B3522E" w:rsidRPr="004A3F6B">
              <w:rPr>
                <w:b/>
                <w:sz w:val="16"/>
                <w:szCs w:val="16"/>
              </w:rPr>
              <w:fldChar w:fldCharType="separate"/>
            </w:r>
            <w:r w:rsidR="00567CFA">
              <w:rPr>
                <w:b/>
                <w:noProof/>
                <w:sz w:val="16"/>
                <w:szCs w:val="16"/>
              </w:rPr>
              <w:t>3</w:t>
            </w:r>
            <w:r w:rsidR="00B3522E" w:rsidRPr="004A3F6B">
              <w:rPr>
                <w:b/>
                <w:sz w:val="16"/>
                <w:szCs w:val="16"/>
              </w:rPr>
              <w:fldChar w:fldCharType="end"/>
            </w:r>
          </w:p>
        </w:sdtContent>
      </w:sdt>
    </w:sdtContent>
  </w:sdt>
  <w:p w:rsidR="0018386B" w:rsidRDefault="0018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D1" w:rsidRDefault="003942D1" w:rsidP="0018386B">
      <w:r>
        <w:separator/>
      </w:r>
    </w:p>
  </w:footnote>
  <w:footnote w:type="continuationSeparator" w:id="0">
    <w:p w:rsidR="003942D1" w:rsidRDefault="003942D1" w:rsidP="0018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BBD"/>
    <w:multiLevelType w:val="hybridMultilevel"/>
    <w:tmpl w:val="8D46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B13D74"/>
    <w:multiLevelType w:val="hybridMultilevel"/>
    <w:tmpl w:val="7CB82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4A1E8F"/>
    <w:multiLevelType w:val="hybridMultilevel"/>
    <w:tmpl w:val="C88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5E351F"/>
    <w:multiLevelType w:val="hybridMultilevel"/>
    <w:tmpl w:val="288E3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D47E3"/>
    <w:rsid w:val="00025688"/>
    <w:rsid w:val="000C5730"/>
    <w:rsid w:val="000D47E3"/>
    <w:rsid w:val="0012258A"/>
    <w:rsid w:val="00145782"/>
    <w:rsid w:val="0018386B"/>
    <w:rsid w:val="001A0559"/>
    <w:rsid w:val="001E28FE"/>
    <w:rsid w:val="00222580"/>
    <w:rsid w:val="00232150"/>
    <w:rsid w:val="002B76A5"/>
    <w:rsid w:val="00370DDF"/>
    <w:rsid w:val="00381B10"/>
    <w:rsid w:val="00387622"/>
    <w:rsid w:val="003942D1"/>
    <w:rsid w:val="003B54F9"/>
    <w:rsid w:val="00437F23"/>
    <w:rsid w:val="004418CF"/>
    <w:rsid w:val="004A3F6B"/>
    <w:rsid w:val="00515359"/>
    <w:rsid w:val="00567CFA"/>
    <w:rsid w:val="00685391"/>
    <w:rsid w:val="0069745F"/>
    <w:rsid w:val="006C3DC4"/>
    <w:rsid w:val="007C5F1D"/>
    <w:rsid w:val="00862466"/>
    <w:rsid w:val="008F19C8"/>
    <w:rsid w:val="00943E63"/>
    <w:rsid w:val="009441FE"/>
    <w:rsid w:val="00960BBA"/>
    <w:rsid w:val="00A716AA"/>
    <w:rsid w:val="00AB0C86"/>
    <w:rsid w:val="00B3522E"/>
    <w:rsid w:val="00B7028C"/>
    <w:rsid w:val="00B75B01"/>
    <w:rsid w:val="00BF46BE"/>
    <w:rsid w:val="00DD0007"/>
    <w:rsid w:val="00DF575D"/>
    <w:rsid w:val="00F77D42"/>
    <w:rsid w:val="00FA019D"/>
    <w:rsid w:val="00FA31D6"/>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C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5688"/>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DD0007"/>
    <w:pPr>
      <w:spacing w:after="0" w:line="240" w:lineRule="auto"/>
    </w:pPr>
  </w:style>
  <w:style w:type="paragraph" w:styleId="Header">
    <w:name w:val="header"/>
    <w:basedOn w:val="Normal"/>
    <w:link w:val="HeaderChar"/>
    <w:uiPriority w:val="99"/>
    <w:unhideWhenUsed/>
    <w:rsid w:val="000D47E3"/>
    <w:pPr>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0D47E3"/>
    <w:rPr>
      <w:rFonts w:ascii="Calibri" w:eastAsia="Calibri" w:hAnsi="Calibri" w:cs="Times New Roman"/>
    </w:rPr>
  </w:style>
  <w:style w:type="paragraph" w:styleId="Footer">
    <w:name w:val="footer"/>
    <w:basedOn w:val="Normal"/>
    <w:link w:val="FooterChar"/>
    <w:uiPriority w:val="99"/>
    <w:unhideWhenUsed/>
    <w:rsid w:val="0018386B"/>
    <w:pPr>
      <w:tabs>
        <w:tab w:val="center" w:pos="4513"/>
        <w:tab w:val="right" w:pos="9026"/>
      </w:tabs>
    </w:pPr>
  </w:style>
  <w:style w:type="character" w:customStyle="1" w:styleId="FooterChar">
    <w:name w:val="Footer Char"/>
    <w:basedOn w:val="DefaultParagraphFont"/>
    <w:link w:val="Footer"/>
    <w:uiPriority w:val="99"/>
    <w:rsid w:val="0018386B"/>
  </w:style>
  <w:style w:type="paragraph" w:styleId="BalloonText">
    <w:name w:val="Balloon Text"/>
    <w:basedOn w:val="Normal"/>
    <w:link w:val="BalloonTextChar"/>
    <w:uiPriority w:val="99"/>
    <w:semiHidden/>
    <w:unhideWhenUsed/>
    <w:rsid w:val="0018386B"/>
    <w:rPr>
      <w:rFonts w:ascii="Tahoma" w:hAnsi="Tahoma" w:cs="Tahoma"/>
      <w:sz w:val="16"/>
      <w:szCs w:val="16"/>
    </w:rPr>
  </w:style>
  <w:style w:type="character" w:customStyle="1" w:styleId="BalloonTextChar">
    <w:name w:val="Balloon Text Char"/>
    <w:basedOn w:val="DefaultParagraphFont"/>
    <w:link w:val="BalloonText"/>
    <w:uiPriority w:val="99"/>
    <w:semiHidden/>
    <w:rsid w:val="0018386B"/>
    <w:rPr>
      <w:rFonts w:ascii="Tahoma" w:hAnsi="Tahoma" w:cs="Tahoma"/>
      <w:sz w:val="16"/>
      <w:szCs w:val="16"/>
    </w:rPr>
  </w:style>
  <w:style w:type="paragraph" w:styleId="ListParagraph">
    <w:name w:val="List Paragraph"/>
    <w:basedOn w:val="Normal"/>
    <w:qFormat/>
    <w:rsid w:val="004418CF"/>
    <w:pPr>
      <w:ind w:left="720"/>
    </w:pPr>
  </w:style>
  <w:style w:type="table" w:styleId="TableGrid">
    <w:name w:val="Table Grid"/>
    <w:basedOn w:val="TableNormal"/>
    <w:uiPriority w:val="59"/>
    <w:rsid w:val="00BF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15359"/>
    <w:rPr>
      <w:rFonts w:ascii="Courier New" w:hAnsi="Courier New"/>
      <w:sz w:val="20"/>
      <w:szCs w:val="20"/>
      <w:lang w:val="en-US"/>
    </w:rPr>
  </w:style>
  <w:style w:type="character" w:customStyle="1" w:styleId="PlainTextChar">
    <w:name w:val="Plain Text Char"/>
    <w:basedOn w:val="DefaultParagraphFont"/>
    <w:link w:val="PlainText"/>
    <w:rsid w:val="00515359"/>
    <w:rPr>
      <w:rFonts w:ascii="Courier New" w:eastAsia="Times New Roman" w:hAnsi="Courier New"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cp:lastModifiedBy>
  <cp:revision>17</cp:revision>
  <cp:lastPrinted>2017-09-27T13:27:00Z</cp:lastPrinted>
  <dcterms:created xsi:type="dcterms:W3CDTF">2014-07-07T16:22:00Z</dcterms:created>
  <dcterms:modified xsi:type="dcterms:W3CDTF">2017-09-27T13:27:00Z</dcterms:modified>
</cp:coreProperties>
</file>